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59871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B35EE76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F09DC5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855D2CA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4F844E3F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21BAAFF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1FC56F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A7490C">
        <w:rPr>
          <w:rFonts w:ascii="Cambria" w:hAnsi="Cambria" w:cs="MyriadPro-Black"/>
          <w:caps/>
          <w:sz w:val="60"/>
          <w:szCs w:val="60"/>
        </w:rPr>
        <w:t>CLLD</w:t>
      </w:r>
    </w:p>
    <w:p w14:paraId="18A208B8" w14:textId="77777777" w:rsidR="00FF4CE5" w:rsidRDefault="00FF4CE5" w:rsidP="00FF4CE5"/>
    <w:p w14:paraId="1B354866" w14:textId="77777777" w:rsidR="00FF4CE5" w:rsidRDefault="00FF4CE5" w:rsidP="00FF4CE5"/>
    <w:p w14:paraId="66272474" w14:textId="77777777" w:rsidR="00FF4CE5" w:rsidRPr="0017758F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17758F">
        <w:rPr>
          <w:rFonts w:cs="MyriadPro-Black"/>
          <w:caps/>
          <w:color w:val="A6A6A6"/>
          <w:sz w:val="40"/>
          <w:szCs w:val="40"/>
        </w:rPr>
        <w:t>4.1</w:t>
      </w:r>
    </w:p>
    <w:p w14:paraId="06AE6736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7758F" w:rsidRPr="0017758F">
        <w:rPr>
          <w:rFonts w:cs="MyriadPro-Black"/>
          <w:caps/>
          <w:color w:val="A6A6A6"/>
          <w:sz w:val="40"/>
          <w:szCs w:val="40"/>
        </w:rPr>
        <w:t>68</w:t>
      </w:r>
    </w:p>
    <w:p w14:paraId="6BBA39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6246E20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545B026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7943E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12DC34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C7D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076F8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14E6184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26FFC5C5" w14:textId="5C58415D" w:rsidR="00FF4CE5" w:rsidRDefault="000B552A">
      <w:pPr>
        <w:spacing w:line="276" w:lineRule="auto"/>
      </w:pPr>
      <w:r w:rsidRPr="00BA7BDE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BA7BDE" w:rsidRPr="00BA7BDE">
        <w:rPr>
          <w:rFonts w:cs="MyriadPro-Black"/>
          <w:caps/>
          <w:color w:val="A6A6A6"/>
          <w:sz w:val="32"/>
          <w:szCs w:val="40"/>
        </w:rPr>
        <w:t>27</w:t>
      </w:r>
      <w:r w:rsidR="0017758F" w:rsidRPr="00BA7BDE">
        <w:rPr>
          <w:rFonts w:cs="MyriadPro-Black"/>
          <w:caps/>
          <w:color w:val="A6A6A6"/>
          <w:sz w:val="32"/>
          <w:szCs w:val="40"/>
        </w:rPr>
        <w:t xml:space="preserve">. </w:t>
      </w:r>
      <w:r w:rsidR="00BA7BDE" w:rsidRPr="00BA7BDE">
        <w:rPr>
          <w:rFonts w:cs="MyriadPro-Black"/>
          <w:caps/>
          <w:color w:val="A6A6A6"/>
          <w:sz w:val="32"/>
          <w:szCs w:val="40"/>
        </w:rPr>
        <w:t>3</w:t>
      </w:r>
      <w:r w:rsidR="0017758F" w:rsidRPr="00BA7BDE">
        <w:rPr>
          <w:rFonts w:cs="MyriadPro-Black"/>
          <w:caps/>
          <w:color w:val="A6A6A6"/>
          <w:sz w:val="32"/>
          <w:szCs w:val="40"/>
        </w:rPr>
        <w:t xml:space="preserve">. </w:t>
      </w:r>
      <w:r w:rsidRPr="00BA7BDE">
        <w:rPr>
          <w:rFonts w:cs="MyriadPro-Black"/>
          <w:caps/>
          <w:color w:val="A6A6A6"/>
          <w:sz w:val="32"/>
          <w:szCs w:val="40"/>
        </w:rPr>
        <w:t xml:space="preserve"> 201</w:t>
      </w:r>
      <w:r w:rsidR="0017758F" w:rsidRPr="00BA7BDE">
        <w:rPr>
          <w:rFonts w:cs="MyriadPro-Black"/>
          <w:caps/>
          <w:color w:val="A6A6A6"/>
          <w:sz w:val="32"/>
          <w:szCs w:val="40"/>
        </w:rPr>
        <w:t>7</w:t>
      </w:r>
      <w:r w:rsidR="00FF4CE5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0665F047" w14:textId="77777777" w:rsidTr="006D3E69">
        <w:tc>
          <w:tcPr>
            <w:tcW w:w="4606" w:type="dxa"/>
          </w:tcPr>
          <w:p w14:paraId="3D52CE9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Stavby</w:t>
            </w:r>
          </w:p>
          <w:p w14:paraId="2CCD31C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6FB89D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0AE3E23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369002F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4E39067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7CBA7CB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95059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A8ADF16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7C9D1C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326B399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68E1892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dnutí o předčasném užití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24517F6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rozhodnutí o prozatímním užívání ke zkušebnímu provozu;</w:t>
            </w:r>
          </w:p>
          <w:p w14:paraId="6590FDD0" w14:textId="77777777" w:rsidR="002E0C06" w:rsidRPr="00CD129C" w:rsidRDefault="002E0C06" w:rsidP="0017758F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35BFAA45" w14:textId="77777777" w:rsidTr="006D3E69">
        <w:tc>
          <w:tcPr>
            <w:tcW w:w="4606" w:type="dxa"/>
          </w:tcPr>
          <w:p w14:paraId="0FBF93D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43981E0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DC430AE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2A8C6A0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67CBD705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1204C42B" w14:textId="77777777" w:rsidR="003C0C25" w:rsidRPr="00CD129C" w:rsidRDefault="003C0C25" w:rsidP="003C0C25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BE667EE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312E0C26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E94DCDA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kupní smlouva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3FE9893D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7D42AE2A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2208CA1" w14:textId="77777777" w:rsidR="002E0C06" w:rsidRPr="00CD129C" w:rsidRDefault="002E0C06" w:rsidP="006D3E69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2E0C06" w:rsidRPr="00CD129C" w14:paraId="04513E0F" w14:textId="77777777" w:rsidTr="006D3E69">
        <w:tc>
          <w:tcPr>
            <w:tcW w:w="4606" w:type="dxa"/>
          </w:tcPr>
          <w:p w14:paraId="14F3F23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6DA0B81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9C44C50" w14:textId="77777777" w:rsidR="002E0C06" w:rsidRPr="00CD129C" w:rsidRDefault="002E0C06" w:rsidP="002E0C06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0AB064D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2C1871E8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40D68BC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1BE0BF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2DEE4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6C00D67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72FEAD7" w14:textId="77777777" w:rsidR="002E0C06" w:rsidRPr="00CD129C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26B93865" w14:textId="77777777" w:rsidTr="006D3E69">
        <w:tc>
          <w:tcPr>
            <w:tcW w:w="4606" w:type="dxa"/>
          </w:tcPr>
          <w:p w14:paraId="3BC673FB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475C364E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379C2B2C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7D3112D8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EACDCD5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28A0B4A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383FBD1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4510D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4A2DB05" w14:textId="77777777" w:rsidR="002E0C06" w:rsidRPr="00CD129C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17E7823" w14:textId="77777777" w:rsidTr="006D3E69">
        <w:tc>
          <w:tcPr>
            <w:tcW w:w="4606" w:type="dxa"/>
          </w:tcPr>
          <w:p w14:paraId="2AB53A0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057F24DD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nehmotného majetku </w:t>
            </w:r>
          </w:p>
          <w:p w14:paraId="79B5E65B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52533A7A" w14:textId="77777777" w:rsidR="002E0C06" w:rsidRPr="00CD129C" w:rsidRDefault="002E0C06" w:rsidP="0017758F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5DF7394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705C51C5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pokud nelze posoudit způsobilost výdaje podle identifikace předmětu plnění, doložit objednávku, dodací list, předávací protokol;</w:t>
            </w:r>
          </w:p>
          <w:p w14:paraId="20B9E6A2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6D19644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42A1BFEA" w14:textId="77777777" w:rsidTr="006D3E69">
        <w:tc>
          <w:tcPr>
            <w:tcW w:w="4606" w:type="dxa"/>
          </w:tcPr>
          <w:p w14:paraId="6BD38A7D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2D74CAF5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749AED72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Studie proveditelnosti,</w:t>
            </w:r>
          </w:p>
          <w:p w14:paraId="76942373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2C20E87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583EB0A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0DC9A2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1A11A002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1343329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3A9B7BD8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79EAE009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17758F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94992E0" w14:textId="77777777" w:rsidTr="006D3E69">
        <w:tc>
          <w:tcPr>
            <w:tcW w:w="4606" w:type="dxa"/>
          </w:tcPr>
          <w:p w14:paraId="524C5D9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56AEF45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10E0BE4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8F1136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382D758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 dílo, případně její dodatky;</w:t>
            </w:r>
          </w:p>
          <w:p w14:paraId="7D8C4540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040555D" w14:textId="77777777" w:rsidTr="006D3E69">
        <w:tc>
          <w:tcPr>
            <w:tcW w:w="4606" w:type="dxa"/>
          </w:tcPr>
          <w:p w14:paraId="66946122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655F334F" w14:textId="77777777" w:rsidR="002E0C06" w:rsidRPr="00CD129C" w:rsidRDefault="002E0C06" w:rsidP="0017758F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356" w:hanging="284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  <w:r w:rsidR="0017758F">
              <w:rPr>
                <w:rFonts w:eastAsiaTheme="minorHAnsi" w:cs="Cambria"/>
                <w:sz w:val="22"/>
                <w:szCs w:val="22"/>
                <w:lang w:val="cs-CZ" w:eastAsia="en-US"/>
              </w:rPr>
              <w:t xml:space="preserve"> </w:t>
            </w:r>
            <w:r w:rsidRPr="00CD129C">
              <w:rPr>
                <w:rFonts w:eastAsiaTheme="minorHAnsi" w:cs="Cambria"/>
                <w:sz w:val="22"/>
                <w:szCs w:val="22"/>
                <w:lang w:val="cs-CZ" w:eastAsia="en-US"/>
              </w:rPr>
              <w:t>při využití přenesené daňové povinnosti kopie evidence pro daňové účely a kopie výpisu z bankovního účtu jako doklad o úhradě daňové povinnosti OFS.</w:t>
            </w:r>
          </w:p>
        </w:tc>
      </w:tr>
      <w:tr w:rsidR="002E0C06" w:rsidRPr="00CD129C" w14:paraId="6A60BC86" w14:textId="77777777" w:rsidTr="006D3E69">
        <w:tc>
          <w:tcPr>
            <w:tcW w:w="4606" w:type="dxa"/>
          </w:tcPr>
          <w:p w14:paraId="0F17875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14AFAAB6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</w:t>
            </w:r>
            <w:r w:rsidR="0017758F">
              <w:rPr>
                <w:sz w:val="22"/>
                <w:szCs w:val="22"/>
                <w:lang w:val="cs-CZ"/>
              </w:rPr>
              <w:t>paragony a další účetní doklady;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3234D1FF" w14:textId="77777777" w:rsidR="002E0C06" w:rsidRPr="00CD129C" w:rsidRDefault="0017758F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m</w:t>
            </w:r>
            <w:r w:rsidR="002E0C06" w:rsidRPr="00CD129C">
              <w:rPr>
                <w:sz w:val="22"/>
                <w:szCs w:val="22"/>
                <w:lang w:val="cs-CZ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  <w:lang w:val="cs-CZ"/>
              </w:rPr>
              <w:t>etně DPH za jeden účetní doklad;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2F690139" w14:textId="77777777" w:rsidR="002E0C06" w:rsidRPr="00CD129C" w:rsidRDefault="0017758F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>
              <w:rPr>
                <w:sz w:val="22"/>
                <w:szCs w:val="22"/>
                <w:lang w:val="cs-CZ"/>
              </w:rPr>
              <w:t>p</w:t>
            </w:r>
            <w:r w:rsidR="002E0C06" w:rsidRPr="00CD129C">
              <w:rPr>
                <w:sz w:val="22"/>
                <w:szCs w:val="22"/>
                <w:lang w:val="cs-CZ"/>
              </w:rPr>
              <w:t>ro tyto výdaje platí povinnost předložit v případě kontroly originály příslušných účetních dokladů.</w:t>
            </w:r>
          </w:p>
        </w:tc>
      </w:tr>
    </w:tbl>
    <w:p w14:paraId="1C2D5233" w14:textId="77777777" w:rsidR="006A6582" w:rsidRDefault="006A6582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D37D4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00691618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DC00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80883A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23C620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3F70DD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7D997E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1A4C991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9D57AF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DDA6364" w14:textId="5FE88810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BA7BDE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BA7BDE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748873" w14:textId="77777777" w:rsidR="008427CF" w:rsidRDefault="00BA7BDE">
        <w:pPr>
          <w:pStyle w:val="Zpat"/>
          <w:jc w:val="center"/>
        </w:pPr>
      </w:p>
    </w:sdtContent>
  </w:sdt>
  <w:p w14:paraId="6AA380E9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4D32402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D72EC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EEC82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81B39F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0D4B5B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B4C67AD" w14:textId="55E5EBE4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A7BD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A7BDE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D3C5A7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E7904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12BA45DA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0A69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1F39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58F0D99" wp14:editId="3C09A5E3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C071F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592DC03E" wp14:editId="4B34EF0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7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3"/>
  </w:num>
  <w:num w:numId="13">
    <w:abstractNumId w:val="4"/>
  </w:num>
  <w:num w:numId="14">
    <w:abstractNumId w:val="17"/>
  </w:num>
  <w:num w:numId="15">
    <w:abstractNumId w:val="1"/>
  </w:num>
  <w:num w:numId="16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4"/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  <w:num w:numId="22">
    <w:abstractNumId w:val="16"/>
  </w:num>
  <w:num w:numId="23">
    <w:abstractNumId w:val="7"/>
  </w:num>
  <w:num w:numId="24">
    <w:abstractNumId w:val="8"/>
  </w:num>
  <w:num w:numId="25">
    <w:abstractNumId w:val="6"/>
  </w:num>
  <w:num w:numId="26">
    <w:abstractNumId w:val="10"/>
  </w:num>
  <w:num w:numId="27">
    <w:abstractNumId w:val="12"/>
  </w:num>
  <w:num w:numId="28">
    <w:abstractNumId w:val="5"/>
  </w:num>
  <w:num w:numId="29">
    <w:abstractNumId w:val="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125A87"/>
    <w:rsid w:val="0017758F"/>
    <w:rsid w:val="002207A5"/>
    <w:rsid w:val="002E0C06"/>
    <w:rsid w:val="002F7B44"/>
    <w:rsid w:val="003B1DC1"/>
    <w:rsid w:val="003C0C25"/>
    <w:rsid w:val="00434F41"/>
    <w:rsid w:val="0043694D"/>
    <w:rsid w:val="004744B6"/>
    <w:rsid w:val="005131D6"/>
    <w:rsid w:val="00536B9E"/>
    <w:rsid w:val="00573DBC"/>
    <w:rsid w:val="006A4CA2"/>
    <w:rsid w:val="006A6582"/>
    <w:rsid w:val="006E2346"/>
    <w:rsid w:val="006E2A5B"/>
    <w:rsid w:val="00715EBF"/>
    <w:rsid w:val="00742D5C"/>
    <w:rsid w:val="007930DD"/>
    <w:rsid w:val="007F00C9"/>
    <w:rsid w:val="008427CF"/>
    <w:rsid w:val="00870FA3"/>
    <w:rsid w:val="008A04C9"/>
    <w:rsid w:val="00A42C55"/>
    <w:rsid w:val="00A7490C"/>
    <w:rsid w:val="00B75437"/>
    <w:rsid w:val="00B8401C"/>
    <w:rsid w:val="00BA7BDE"/>
    <w:rsid w:val="00BB0EE9"/>
    <w:rsid w:val="00BF33F1"/>
    <w:rsid w:val="00C37F0C"/>
    <w:rsid w:val="00C94438"/>
    <w:rsid w:val="00C96EAE"/>
    <w:rsid w:val="00CE58EB"/>
    <w:rsid w:val="00D24580"/>
    <w:rsid w:val="00E26586"/>
    <w:rsid w:val="00E920DF"/>
    <w:rsid w:val="00EB0444"/>
    <w:rsid w:val="00F41609"/>
    <w:rsid w:val="00F63071"/>
    <w:rsid w:val="00F84874"/>
    <w:rsid w:val="00FB49AA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3F5E"/>
  <w15:docId w15:val="{4FAE1E25-2090-4CD8-ABB8-61B8D18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D0E97-5B41-4C35-A1C3-E5524D20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634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Rosol Pavel</cp:lastModifiedBy>
  <cp:revision>31</cp:revision>
  <dcterms:created xsi:type="dcterms:W3CDTF">2016-09-21T09:18:00Z</dcterms:created>
  <dcterms:modified xsi:type="dcterms:W3CDTF">2017-03-27T11:56:00Z</dcterms:modified>
</cp:coreProperties>
</file>