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92" w:rsidRDefault="00E52E92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201A7F" w:rsidRPr="00B304E9" w:rsidRDefault="00201A7F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01A7F" w:rsidRDefault="00201A7F" w:rsidP="00201A7F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01A7F" w:rsidRPr="00B87595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7</w:t>
      </w:r>
    </w:p>
    <w:p w:rsidR="00201A7F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ZÁVĚREČNÁ ZPRÁVA ZA CELÉ OBDOBÍ REALIZACE PROJEKTU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201A7F" w:rsidRDefault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838AF" w:rsidRDefault="006838A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9B79B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E1BB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9B79B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D25B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C474B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6B14DA" w:rsidRPr="009F5070" w:rsidRDefault="006B14D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E2EB8" w:rsidRDefault="00CE2EB8" w:rsidP="005B7936">
      <w:pPr>
        <w:spacing w:after="200" w:line="276" w:lineRule="auto"/>
        <w:jc w:val="center"/>
        <w:rPr>
          <w:rFonts w:ascii="Arial" w:eastAsiaTheme="minorHAnsi" w:hAnsi="Arial" w:cs="Arial"/>
          <w:b/>
          <w:bCs/>
          <w:smallCaps/>
          <w:sz w:val="52"/>
          <w:szCs w:val="52"/>
          <w:lang w:eastAsia="en-US"/>
        </w:rPr>
        <w:sectPr w:rsidR="00CE2EB8" w:rsidSect="0002314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C68A5" w:rsidRPr="00AC68A5" w:rsidRDefault="00AC68A5" w:rsidP="00AC68A5">
      <w:pPr>
        <w:pStyle w:val="MPPstrany"/>
        <w:rPr>
          <w:color w:val="auto"/>
        </w:rPr>
      </w:pPr>
      <w:bookmarkStart w:id="0" w:name="_GoBack"/>
      <w:r w:rsidRPr="00AC68A5">
        <w:rPr>
          <w:color w:val="auto"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  <w:rPr>
                <w:rStyle w:val="Odkaznakoment"/>
                <w:sz w:val="20"/>
              </w:rPr>
            </w:pPr>
            <w:r>
              <w:t>Datová položka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Plnění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Poznámka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rStyle w:val="Odkaznakoment"/>
                <w:color w:val="auto"/>
              </w:rPr>
              <w:t>Název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rFonts w:eastAsia="Times New Roman" w:cs="Times New Roman"/>
                <w:color w:val="auto"/>
              </w:rPr>
            </w:pPr>
            <w:r w:rsidRPr="00AC68A5">
              <w:rPr>
                <w:color w:val="auto"/>
              </w:rPr>
              <w:t xml:space="preserve">Závěrečná zpráva za celé období realizace individuálního projektu </w:t>
            </w:r>
            <w:r w:rsidRPr="00AC68A5">
              <w:rPr>
                <w:rFonts w:eastAsia="Times New Roman" w:cs="Times New Roman"/>
                <w:color w:val="auto"/>
              </w:rPr>
              <w:t>č. X</w:t>
            </w:r>
          </w:p>
          <w:p w:rsidR="00AC68A5" w:rsidRPr="00AC68A5" w:rsidRDefault="00AC68A5" w:rsidP="00F329F4">
            <w:pPr>
              <w:pStyle w:val="MPtabtext"/>
              <w:rPr>
                <w:rFonts w:eastAsia="Times New Roman" w:cs="Times New Roman"/>
                <w:color w:val="auto"/>
              </w:rPr>
            </w:pPr>
          </w:p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 xml:space="preserve">Závěrečná zpráva za celé období realizace velkého projektu </w:t>
            </w:r>
            <w:r w:rsidRPr="00AC68A5">
              <w:rPr>
                <w:rFonts w:eastAsia="Times New Roman" w:cs="Times New Roman"/>
                <w:color w:val="auto"/>
              </w:rPr>
              <w:t>č. X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X = registrační číslo projektu</w:t>
            </w:r>
          </w:p>
        </w:tc>
      </w:tr>
      <w:tr w:rsidR="00AC68A5" w:rsidTr="00F329F4">
        <w:trPr>
          <w:trHeight w:val="141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rStyle w:val="Odkaznakoment"/>
                <w:color w:val="auto"/>
              </w:rPr>
              <w:t>Program / DoP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pozn"/>
            </w:pPr>
            <w:r w:rsidRPr="00AC68A5">
              <w:rPr>
                <w:rFonts w:eastAsia="Times New Roman"/>
                <w:lang w:eastAsia="cs-CZ"/>
              </w:rPr>
              <w:t xml:space="preserve">Číselník 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Typ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Realizační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Druh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Zpráva o realizaci individuálního projektu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Zpráva o realizaci velkého projektu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Logo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</w:tbl>
    <w:p w:rsidR="00AC68A5" w:rsidRDefault="00AC68A5" w:rsidP="00AC68A5">
      <w:pPr>
        <w:pStyle w:val="MPPstrany"/>
      </w:pPr>
    </w:p>
    <w:p w:rsidR="00AC68A5" w:rsidRPr="00AC68A5" w:rsidRDefault="00AC68A5" w:rsidP="00AC68A5">
      <w:pPr>
        <w:pStyle w:val="MPPstrany"/>
        <w:rPr>
          <w:color w:val="auto"/>
        </w:rPr>
      </w:pPr>
      <w:r w:rsidRPr="00AC68A5">
        <w:rPr>
          <w:color w:val="auto"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96"/>
        <w:gridCol w:w="2221"/>
        <w:gridCol w:w="2762"/>
        <w:gridCol w:w="2221"/>
        <w:gridCol w:w="3148"/>
        <w:gridCol w:w="2972"/>
      </w:tblGrid>
      <w:tr w:rsidR="00AC68A5" w:rsidTr="00F329F4">
        <w:trPr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Číslo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Kapitola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Datová položka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Závaznost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Plnění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Poznámka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Základní informace o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Registrační číslo projektu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s tím, že se zobrazují pouze ty datové položky a k nim údaje, které jsou v případě daného projektu relevantní.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Název projektu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Název příjemce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Typ operace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individuální projekt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  <w:lang w:eastAsia="cs-CZ"/>
              </w:rPr>
              <w:t>velký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Atribut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8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integrovaný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8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synergický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8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komplementární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8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nerelevantní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Fázovaný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Checkbox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integrovaného nástroje, pokud je projekt „integrovaný“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 xml:space="preserve">Číslo a název integrované </w:t>
            </w:r>
            <w:r w:rsidRPr="00AC68A5">
              <w:rPr>
                <w:rFonts w:eastAsia="Times New Roman" w:cs="Times New Roman"/>
                <w:color w:val="auto"/>
              </w:rPr>
              <w:lastRenderedPageBreak/>
              <w:t>strategie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projektu/ů, se kterými je projekt „synergický“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programu, ze kterého je projekt spolufinancován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prioritní osy / priority Unie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investiční priority / specifického cíle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opatření</w:t>
            </w:r>
            <w:r w:rsidRPr="00AC68A5">
              <w:rPr>
                <w:color w:val="auto"/>
                <w:vertAlign w:val="superscript"/>
              </w:rPr>
              <w:t xml:space="preserve"> </w:t>
            </w:r>
            <w:r w:rsidRPr="00AC68A5">
              <w:rPr>
                <w:color w:val="auto"/>
              </w:rPr>
              <w:t>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záměru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specifického cíle / specifických cílů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Pořadí etapy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příjemce, pokud je projekt etapový.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zprávě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Identifikační číslo zprávy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„závěrečná“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Plánované 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se 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Skutečné datum podání – 1.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Datum, kdy příjemce poprvé podal tuto zprávu ŘO / ZS, je-li zapojen do implementace a ze strany ŘO mu je tato činnost svěřena. 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 xml:space="preserve">Vyplňuje se automaticky. </w:t>
            </w:r>
            <w:r w:rsidRPr="00AC68A5">
              <w:rPr>
                <w:rFonts w:eastAsia="Times New Roman" w:cs="Times New Roman"/>
                <w:color w:val="auto"/>
              </w:rPr>
              <w:lastRenderedPageBreak/>
              <w:t>V případě, že dojde k vracení zprávy k dopracování, toto datum se nemění.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Skutečné datum podání – aktuální verze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 w:cs="Arial"/>
                <w:sz w:val="20"/>
                <w:szCs w:val="20"/>
                <w:lang w:bidi="en-US"/>
              </w:rPr>
              <w:t>Datum, kdy příjemce podal aktuální verzi zprávy ŘO / ZS.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eastAsia="Times New Roman" w:cs="Arial"/>
                <w:color w:val="auto"/>
              </w:rPr>
              <w:t>Vyplňuje se automaticky v případě podání zprávy po vrácení k dopracování. Při opětovném podání se datum přepisu, nicméně v MS2014+ jsou všechna data a verze zprávy zachovány.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rFonts w:eastAsia="Times New Roman" w:cs="Arial"/>
                <w:color w:val="auto"/>
              </w:rPr>
            </w:pPr>
            <w:r w:rsidRPr="00AC68A5">
              <w:rPr>
                <w:rFonts w:eastAsia="Times New Roman" w:cs="Arial"/>
                <w:color w:val="auto"/>
              </w:rPr>
              <w:t>Skutečné datum zahájení fyzické realizace projektu, pokud je  na projektu vyplněno před rozpracováním zprávy, jinak se plní datum vydání právního aktu o poskytnutí převodu /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cs="Arial"/>
                <w:color w:val="auto"/>
              </w:rPr>
              <w:t>Vyplňuje se automaticky.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cs="Arial"/>
                <w:color w:val="auto"/>
              </w:rPr>
              <w:t xml:space="preserve">Vyplňuje příjemce. Volí z kalendáře. 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cs="Arial"/>
                <w:color w:val="auto"/>
              </w:rPr>
              <w:t>V případě projektů, které jsou součástí větší akce, za kterou je tato zpráva vykazovaná, jedná se o datum ukončení realizace dané akce.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procesu schvalování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právního aktu o poskytnutí / převodu podpory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právního aktu o poskytnutí / převodu podpory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dodatku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dodatku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Předmět dodatku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 předložení žádosti o schválení velkého projektu na EK ŘO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 předložení žádosti o schválení velkého projektu na EK ŘO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Automaticky, přičemž výčet datových položek se liší podle zvoleného způsobu schválení velkého projektu.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odeslání velkého projektu nezávislému expertu k posouzení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pozitivního ohodnocení velkého projektu nezávislým expertem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negativního ohodnocení velkého projektu nezávislým expertem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odeslání velkého projektu k notifikace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odeslání velkého projektu ke schválení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rozhodnutí EK o velkém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neschválení velkého projektu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změny rozhodnutí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Předmět změny rozhodnutí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průběhu realizace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průběhu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Povinná pro individuální projekty, velké projekty a zjednodušené projektu, pokud nemají definované </w:t>
            </w:r>
            <w:r w:rsidRPr="00AC68A5">
              <w:rPr>
                <w:color w:val="auto"/>
              </w:rPr>
              <w:lastRenderedPageBreak/>
              <w:t>klíčové aktivity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 pro projekty,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lastRenderedPageBreak/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průběhu realizace projektu a dosažení konečného stavu / cílů projektu.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V případě, že se jedná o projekt, který je součástí větší </w:t>
            </w:r>
            <w:r w:rsidRPr="00AC68A5">
              <w:rPr>
                <w:color w:val="auto"/>
              </w:rPr>
              <w:lastRenderedPageBreak/>
              <w:t>akce, je žádoucí popsat i samotnou akci.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klíčových aktivit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Číslo a název klíčové aktivity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na základě právního aktu o 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Je relevantní pouze pro projekty, u kterých jsou definovány klíčové aktivity.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Popis plnění klíčové aktivity v průběhu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harmonogramu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Předpokládané datum zahájení fyzické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 zahájení fyzické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b/>
                <w:color w:val="auto"/>
              </w:rPr>
            </w:pPr>
            <w:r w:rsidRPr="00AC68A5">
              <w:rPr>
                <w:rFonts w:eastAsia="Times New Roman"/>
                <w:color w:val="auto"/>
                <w:lang w:eastAsia="cs-CZ"/>
              </w:rPr>
              <w:t>Předpokládané datum zahájení etapy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b/>
                <w:color w:val="auto"/>
              </w:rPr>
            </w:pPr>
            <w:r w:rsidRPr="00AC68A5">
              <w:rPr>
                <w:rFonts w:eastAsia="Times New Roman"/>
                <w:color w:val="auto"/>
                <w:lang w:eastAsia="cs-CZ"/>
              </w:rPr>
              <w:t>Předpokládané datum ukončení etapy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b/>
                <w:color w:val="auto"/>
              </w:rPr>
            </w:pPr>
            <w:r w:rsidRPr="00AC68A5">
              <w:rPr>
                <w:rFonts w:eastAsia="Times New Roman"/>
                <w:color w:val="auto"/>
                <w:lang w:eastAsia="cs-CZ"/>
              </w:rPr>
              <w:t>Skutečné datum zahájení etapy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b/>
                <w:color w:val="auto"/>
              </w:rPr>
            </w:pPr>
            <w:r w:rsidRPr="00AC68A5">
              <w:rPr>
                <w:rFonts w:eastAsia="Times New Roman"/>
                <w:color w:val="auto"/>
                <w:lang w:eastAsia="cs-CZ"/>
              </w:rPr>
              <w:t>Skutečné datum ukončení etapy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Výkup pozemků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Zahájení výstavby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Ukončení výstavby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Zahájení kolaudačního řízení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Ukončení kolaudačního řízení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Zahájení provozu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zajištění provozu / údržby výstupů projektu po jeho ukončení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zajištění provozu / údržby projektu po jeho ukončení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indikátorů</w:t>
            </w:r>
          </w:p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Kód a název indikátoru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Měrná jednotka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Environmentální indikátor (ENVI)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Výchozí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výchozí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Cílová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cílové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Dosažená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Jedná se o kumulativní údaj od začátku realizace projektu. Vyplňuje příjemce podle skutečnosti.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U indikátorů bez kumulace se jedná o aktuální hodnotu.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 případě indikátorů přenesených z IS ESF2014+ se hodnota vyplňuje automaticky.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dosažené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cs="Arial"/>
                <w:color w:val="auto"/>
              </w:rPr>
              <w:t>Vyplňuje příjemce. Volí z kalendáře.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Procento plnění cílové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Automaticky. Pokud cílová hodnota indikátoru není součástí právního aktu o poskytnutí / převodu podpory, vyplňuje se N/A.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 k dosažené hodnotě indikátoru. Vyplňuje příjemce, pokud to považuje za žádoucí.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Firemní proměnné se aktualizují oproti žádosti o podporu za příjemce. Relevantní jen pro podnikatelské subjekty (právnické osoby, resp. obchodní společnosti a družstva dle práva ČR). Nerelevantní pro cíl EÚS.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subjekty (právnické osoby, resp. obchodní společnosti a družstva dle práva ČR). Jedná se o aktualizaci údajů oproti žádosti o podporu, resp. předchozí zprávě o realizaci projektu. 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Počet zaměstnanců dle nařízení 651/2014 (FTE). Relevantní pro podnikatelské subjekty (právnické osoby, resp. obchodní společnosti a družstva dle práva ČR), které vystupují jako typ subjektu - žadatel / příjemce. Údaj se vztahuje k IČ subjektu, tzn., nezohledňují se další vztahy (např. matky apod.). Jedná se o aktualizaci údajů oproti žádosti o podporu, resp. předchozí zprávě o realizaci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projektu.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Roční obrat (EUR)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nezohledňují se další vztahy (např. matky apod.)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Bilanční suma roční rozvahy (EUR)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projektu.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synergie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Registrační číslo a název projektu, se kterým je projekt synergický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se automaticky dle údajů v právním aktu o poskytnutí / převodu podpory.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Popis pokroku v realizaci synergické vazby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 xml:space="preserve">Povinné u projektů, které jsou označeny </w:t>
            </w:r>
            <w:r w:rsidRPr="00AC68A5">
              <w:rPr>
                <w:color w:val="auto"/>
              </w:rPr>
              <w:lastRenderedPageBreak/>
              <w:t>jako synergické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lastRenderedPageBreak/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 xml:space="preserve">Zhodnocení přínosu projektu ve vazbě na zrcadlový </w:t>
            </w:r>
            <w:r w:rsidRPr="00AC68A5">
              <w:rPr>
                <w:color w:val="auto"/>
              </w:rPr>
              <w:lastRenderedPageBreak/>
              <w:t>(synergický) projekt. Jaká je přidaná hodnota vzájemné realizace obou synergických projektů, jak probíhá spolupráce mezi příjemci projektů apod. Vyplňuje příjemce</w:t>
            </w:r>
            <w:r w:rsidRPr="00AC68A5">
              <w:rPr>
                <w:rFonts w:eastAsia="Times New Roman" w:cs="Times New Roman"/>
                <w:color w:val="auto"/>
              </w:rPr>
              <w:t>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horizontálních principů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oblasti rovných příležitostí a nediskriminace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Příjemce v rámci textového pole popíše, jaká byla provedena opatření pro zajištění HP rovnosti mezi muži a ženami.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zajištění rovnosti mužů a žen.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oblasti vlivu na životní prostředí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příjmech</w:t>
            </w:r>
          </w:p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příjmů dle čl. 61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 a velké projekty spolufinancované z EFRR a FS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 a FS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jiných peněžních příjmů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 a velké projekty spolufinancované z EFRR, FS a ENRF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provozních výdajů za sledované období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 a velké projekty spolufinancované z EFRR, FS a ENRF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čistých jiných peněžních příjmů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ESF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Automaticky na základě předchozího pole a předchozích zpráv. 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proveden přepočet v modulu CBA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ne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Přepočet je povinný v závěrečné zprávě za celé období realizace pro projekty, které mají v modulu CBA proveden výpočet. 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Příloha – Výpočet CBA (zpracovaný mimo modul CBA v MS2014+)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Povinná pro individuální projekty, které mají výjimku v MP řízení výzev a </w:t>
            </w:r>
            <w:r w:rsidRPr="00AC68A5">
              <w:rPr>
                <w:color w:val="auto"/>
              </w:rPr>
              <w:lastRenderedPageBreak/>
              <w:t>hodnocení projektů 2014–2020 a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lastRenderedPageBreak/>
              <w:t>Soubor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Nahrává příjemce.</w:t>
            </w: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veřejných zakázkách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extinfo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Relevantní pro projekty, v rámci kterých jsou plánovány / realizovány veřejné zakázky.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Datové položky se nabízí v závislosti na stavu přípravy či realizace veřejné zakázky / veřejných zakázek.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Vyhodnocení celkových nákladů akce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Vyhodnocení celkových nákladů akce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Slovní zhodnocení celkových nákladů akce, jejích součástí je projekt spolufinancovaný z ESI fondů.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Příloha – Celkové náklady akce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Soubor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Soubor s předdefinovanou strukturou ze strany ŘO v pravidlech pro příjemce.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a nahrává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zajištění povinné publicity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Povinné nástroje: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Velkoplošný panel/billboard u projektů ERDF/FS v hodnotě vyšší než 500 000 EUR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Stálá/pamětní deska u projektů ERDF/FS v hodnotě vyšší než 500 000 EUR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AC68A5" w:rsidRPr="00AC68A5" w:rsidRDefault="00AC68A5" w:rsidP="0089211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AC68A5" w:rsidRPr="00AC68A5" w:rsidRDefault="00AC68A5" w:rsidP="0089211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Zobrazuje se u relevantních projektů dle právního aktu o poskytnutí / převodu podpory. Alokace za celkové způsobilé výdaje v CZK je přepočítávána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měnovým kurzem platným v době uzavření právního aktu o 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Plakát u projektů ESF a u projektů ERDF/FS v hodnotě nižší než 500 000 EUR velikosti min A3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AC68A5" w:rsidRPr="00AC68A5" w:rsidRDefault="00AC68A5" w:rsidP="0089211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AC68A5" w:rsidRPr="00AC68A5" w:rsidRDefault="00AC68A5" w:rsidP="0089211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  <w:lang w:eastAsia="cs-CZ"/>
              </w:rPr>
            </w:pPr>
            <w:r w:rsidRPr="00AC68A5">
              <w:rPr>
                <w:rFonts w:eastAsia="Times New Roman" w:cs="Times New Roman"/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Plakát u projektů ERDF/FS v hodnotě vyšší než 500 000 EUR velikosti min A3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Povinné prvky </w:t>
            </w:r>
          </w:p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(loga, odkaz na fond, slogan a další povinné náležitosti):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Povinné prvky jsou uvedeny na dokumentech, webových stránkách a dalších nosičích financovaných z evropských fondů v souladu s Pravidly pro žadatele a příjemce.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Popis jiného/nepovinného zajištění propagace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 xml:space="preserve">Informace o případných problémech, které se vyskytly v průběhu realizace projektu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Identifikace problému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problému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Řešení ze strany příjemce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Čestná prohlášení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rFonts w:cstheme="majorBidi"/>
                <w:b/>
                <w:bCs/>
                <w:color w:val="auto"/>
                <w:lang w:eastAsia="cs-CZ"/>
              </w:rPr>
            </w:pPr>
            <w:r w:rsidRPr="00AC68A5">
              <w:rPr>
                <w:color w:val="auto"/>
              </w:rPr>
              <w:t>Seznam čestných prohlášení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Textové pole se zněním čestného/ch prohlášení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Příjemce volí z nabízených čestných prohlášení a svým elektronickým podpisem připojeným k ZoR projektu stvrzuje souhlas s jejich zněním.</w:t>
            </w:r>
          </w:p>
        </w:tc>
      </w:tr>
    </w:tbl>
    <w:p w:rsidR="00AC68A5" w:rsidRPr="009F5070" w:rsidRDefault="00AC68A5" w:rsidP="00AC68A5">
      <w:pPr>
        <w:pStyle w:val="MPtext"/>
        <w:rPr>
          <w:b/>
        </w:rPr>
      </w:pPr>
    </w:p>
    <w:bookmarkEnd w:id="0"/>
    <w:p w:rsidR="009F5070" w:rsidRPr="009F5070" w:rsidRDefault="009F5070" w:rsidP="00AC68A5">
      <w:pPr>
        <w:pStyle w:val="MPPstrany"/>
        <w:rPr>
          <w:rFonts w:eastAsiaTheme="minorEastAsia"/>
          <w:b w:val="0"/>
        </w:rPr>
      </w:pPr>
    </w:p>
    <w:sectPr w:rsidR="009F5070" w:rsidRPr="009F5070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0D3" w:rsidRDefault="006770D3" w:rsidP="00634381">
      <w:r>
        <w:separator/>
      </w:r>
    </w:p>
  </w:endnote>
  <w:endnote w:type="continuationSeparator" w:id="0">
    <w:p w:rsidR="006770D3" w:rsidRDefault="006770D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D3" w:rsidRDefault="006770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708741"/>
      <w:docPartObj>
        <w:docPartGallery w:val="Page Numbers (Bottom of Page)"/>
        <w:docPartUnique/>
      </w:docPartObj>
    </w:sdtPr>
    <w:sdtEndPr/>
    <w:sdtContent>
      <w:p w:rsidR="006770D3" w:rsidRDefault="006770D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4D8">
          <w:rPr>
            <w:noProof/>
          </w:rPr>
          <w:t>15</w:t>
        </w:r>
        <w:r>
          <w:fldChar w:fldCharType="end"/>
        </w:r>
      </w:p>
    </w:sdtContent>
  </w:sdt>
  <w:p w:rsidR="006770D3" w:rsidRDefault="006770D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D3" w:rsidRDefault="006770D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0D3" w:rsidRDefault="006770D3" w:rsidP="00634381">
      <w:r>
        <w:separator/>
      </w:r>
    </w:p>
  </w:footnote>
  <w:footnote w:type="continuationSeparator" w:id="0">
    <w:p w:rsidR="006770D3" w:rsidRDefault="006770D3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D3" w:rsidRDefault="006770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D3" w:rsidRDefault="006770D3" w:rsidP="00201A7F">
    <w:pPr>
      <w:pStyle w:val="Zhlav"/>
      <w:jc w:val="center"/>
    </w:pPr>
  </w:p>
  <w:p w:rsidR="006770D3" w:rsidRDefault="006770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D3" w:rsidRDefault="006770D3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1BDA689A" wp14:editId="24EBAD8B">
          <wp:simplePos x="0" y="0"/>
          <wp:positionH relativeFrom="margin">
            <wp:posOffset>17780</wp:posOffset>
          </wp:positionH>
          <wp:positionV relativeFrom="paragraph">
            <wp:posOffset>226060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ACB342A"/>
    <w:multiLevelType w:val="hybridMultilevel"/>
    <w:tmpl w:val="6000761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4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6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6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1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9"/>
  </w:num>
  <w:num w:numId="5">
    <w:abstractNumId w:val="7"/>
  </w:num>
  <w:num w:numId="6">
    <w:abstractNumId w:val="26"/>
  </w:num>
  <w:num w:numId="7">
    <w:abstractNumId w:val="42"/>
  </w:num>
  <w:num w:numId="8">
    <w:abstractNumId w:val="24"/>
  </w:num>
  <w:num w:numId="9">
    <w:abstractNumId w:val="43"/>
  </w:num>
  <w:num w:numId="10">
    <w:abstractNumId w:val="4"/>
  </w:num>
  <w:num w:numId="11">
    <w:abstractNumId w:val="3"/>
  </w:num>
  <w:num w:numId="12">
    <w:abstractNumId w:val="2"/>
  </w:num>
  <w:num w:numId="13">
    <w:abstractNumId w:val="35"/>
  </w:num>
  <w:num w:numId="14">
    <w:abstractNumId w:val="28"/>
  </w:num>
  <w:num w:numId="15">
    <w:abstractNumId w:val="38"/>
  </w:num>
  <w:num w:numId="16">
    <w:abstractNumId w:val="41"/>
  </w:num>
  <w:num w:numId="17">
    <w:abstractNumId w:val="34"/>
  </w:num>
  <w:num w:numId="18">
    <w:abstractNumId w:val="39"/>
  </w:num>
  <w:num w:numId="19">
    <w:abstractNumId w:val="16"/>
  </w:num>
  <w:num w:numId="20">
    <w:abstractNumId w:val="8"/>
  </w:num>
  <w:num w:numId="21">
    <w:abstractNumId w:val="6"/>
  </w:num>
  <w:num w:numId="22">
    <w:abstractNumId w:val="1"/>
  </w:num>
  <w:num w:numId="23">
    <w:abstractNumId w:val="0"/>
  </w:num>
  <w:num w:numId="24">
    <w:abstractNumId w:val="11"/>
  </w:num>
  <w:num w:numId="25">
    <w:abstractNumId w:val="21"/>
    <w:lvlOverride w:ilvl="0">
      <w:startOverride w:val="1"/>
    </w:lvlOverride>
  </w:num>
  <w:num w:numId="26">
    <w:abstractNumId w:val="31"/>
    <w:lvlOverride w:ilvl="0">
      <w:startOverride w:val="1"/>
    </w:lvlOverride>
  </w:num>
  <w:num w:numId="27">
    <w:abstractNumId w:val="37"/>
  </w:num>
  <w:num w:numId="28">
    <w:abstractNumId w:val="18"/>
  </w:num>
  <w:num w:numId="29">
    <w:abstractNumId w:val="22"/>
  </w:num>
  <w:num w:numId="30">
    <w:abstractNumId w:val="14"/>
  </w:num>
  <w:num w:numId="31">
    <w:abstractNumId w:val="29"/>
  </w:num>
  <w:num w:numId="32">
    <w:abstractNumId w:val="30"/>
  </w:num>
  <w:num w:numId="33">
    <w:abstractNumId w:val="17"/>
  </w:num>
  <w:num w:numId="34">
    <w:abstractNumId w:val="25"/>
  </w:num>
  <w:num w:numId="35">
    <w:abstractNumId w:val="40"/>
  </w:num>
  <w:num w:numId="36">
    <w:abstractNumId w:val="33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12CA"/>
    <w:rsid w:val="00014F63"/>
    <w:rsid w:val="00023145"/>
    <w:rsid w:val="000354D8"/>
    <w:rsid w:val="00057399"/>
    <w:rsid w:val="00057C7F"/>
    <w:rsid w:val="00070FE9"/>
    <w:rsid w:val="000A59A9"/>
    <w:rsid w:val="00124BB0"/>
    <w:rsid w:val="00141C5B"/>
    <w:rsid w:val="0015368A"/>
    <w:rsid w:val="00155A3F"/>
    <w:rsid w:val="00174CA1"/>
    <w:rsid w:val="001C1713"/>
    <w:rsid w:val="001E18AA"/>
    <w:rsid w:val="00201A7F"/>
    <w:rsid w:val="00204D9A"/>
    <w:rsid w:val="00213558"/>
    <w:rsid w:val="0021750B"/>
    <w:rsid w:val="00221B02"/>
    <w:rsid w:val="002265AB"/>
    <w:rsid w:val="00231F50"/>
    <w:rsid w:val="002748BB"/>
    <w:rsid w:val="00286C01"/>
    <w:rsid w:val="002B539C"/>
    <w:rsid w:val="002B634B"/>
    <w:rsid w:val="002C177C"/>
    <w:rsid w:val="00304473"/>
    <w:rsid w:val="00304EEA"/>
    <w:rsid w:val="00320082"/>
    <w:rsid w:val="003229C3"/>
    <w:rsid w:val="00324CD8"/>
    <w:rsid w:val="0033728D"/>
    <w:rsid w:val="00346D17"/>
    <w:rsid w:val="003A442E"/>
    <w:rsid w:val="003A775F"/>
    <w:rsid w:val="003F56E0"/>
    <w:rsid w:val="004322FE"/>
    <w:rsid w:val="00471764"/>
    <w:rsid w:val="00482EA1"/>
    <w:rsid w:val="00482F73"/>
    <w:rsid w:val="004849AE"/>
    <w:rsid w:val="00486EE4"/>
    <w:rsid w:val="004A323F"/>
    <w:rsid w:val="004C1F8F"/>
    <w:rsid w:val="004E1BB7"/>
    <w:rsid w:val="004E6218"/>
    <w:rsid w:val="005211DB"/>
    <w:rsid w:val="00526EDC"/>
    <w:rsid w:val="0056072C"/>
    <w:rsid w:val="00585341"/>
    <w:rsid w:val="00596086"/>
    <w:rsid w:val="005A38DF"/>
    <w:rsid w:val="005B7936"/>
    <w:rsid w:val="005E5868"/>
    <w:rsid w:val="005E7F63"/>
    <w:rsid w:val="006077FB"/>
    <w:rsid w:val="006177A7"/>
    <w:rsid w:val="006221F8"/>
    <w:rsid w:val="00632B48"/>
    <w:rsid w:val="00634381"/>
    <w:rsid w:val="006532D6"/>
    <w:rsid w:val="006770D3"/>
    <w:rsid w:val="0067736D"/>
    <w:rsid w:val="006803CD"/>
    <w:rsid w:val="006838AF"/>
    <w:rsid w:val="0069719B"/>
    <w:rsid w:val="006B14DA"/>
    <w:rsid w:val="006E5C82"/>
    <w:rsid w:val="006E72F1"/>
    <w:rsid w:val="00714EBA"/>
    <w:rsid w:val="00722201"/>
    <w:rsid w:val="0076431E"/>
    <w:rsid w:val="007852CE"/>
    <w:rsid w:val="0078659D"/>
    <w:rsid w:val="0079419F"/>
    <w:rsid w:val="007C02FA"/>
    <w:rsid w:val="007C0AB0"/>
    <w:rsid w:val="008344A6"/>
    <w:rsid w:val="00844F3C"/>
    <w:rsid w:val="00863444"/>
    <w:rsid w:val="00892111"/>
    <w:rsid w:val="00895CD7"/>
    <w:rsid w:val="008A5F96"/>
    <w:rsid w:val="008E260A"/>
    <w:rsid w:val="0090017F"/>
    <w:rsid w:val="00900F86"/>
    <w:rsid w:val="00932786"/>
    <w:rsid w:val="00940D59"/>
    <w:rsid w:val="00952FC0"/>
    <w:rsid w:val="009876AB"/>
    <w:rsid w:val="009915BE"/>
    <w:rsid w:val="00991CCA"/>
    <w:rsid w:val="009B79BB"/>
    <w:rsid w:val="009D5BAF"/>
    <w:rsid w:val="009D5E0D"/>
    <w:rsid w:val="009E4F57"/>
    <w:rsid w:val="009F5070"/>
    <w:rsid w:val="00A24831"/>
    <w:rsid w:val="00A67C37"/>
    <w:rsid w:val="00A77A84"/>
    <w:rsid w:val="00AA6E68"/>
    <w:rsid w:val="00AC4029"/>
    <w:rsid w:val="00AC68A5"/>
    <w:rsid w:val="00B32019"/>
    <w:rsid w:val="00B32AB8"/>
    <w:rsid w:val="00B55EB2"/>
    <w:rsid w:val="00B656CA"/>
    <w:rsid w:val="00B7197B"/>
    <w:rsid w:val="00B8276E"/>
    <w:rsid w:val="00BE3A2A"/>
    <w:rsid w:val="00C053B0"/>
    <w:rsid w:val="00C23AA1"/>
    <w:rsid w:val="00C23F14"/>
    <w:rsid w:val="00C24C75"/>
    <w:rsid w:val="00C474BB"/>
    <w:rsid w:val="00C552CE"/>
    <w:rsid w:val="00C65D89"/>
    <w:rsid w:val="00C851F7"/>
    <w:rsid w:val="00C85696"/>
    <w:rsid w:val="00CC21DF"/>
    <w:rsid w:val="00CE2EB8"/>
    <w:rsid w:val="00CE720D"/>
    <w:rsid w:val="00CF4451"/>
    <w:rsid w:val="00CF5985"/>
    <w:rsid w:val="00D04B31"/>
    <w:rsid w:val="00D25B86"/>
    <w:rsid w:val="00D33570"/>
    <w:rsid w:val="00D74C9C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52E92"/>
    <w:rsid w:val="00E616B5"/>
    <w:rsid w:val="00E86085"/>
    <w:rsid w:val="00EB0EA0"/>
    <w:rsid w:val="00EB4303"/>
    <w:rsid w:val="00EC190D"/>
    <w:rsid w:val="00EE0E4C"/>
    <w:rsid w:val="00F02008"/>
    <w:rsid w:val="00F11638"/>
    <w:rsid w:val="00F31F10"/>
    <w:rsid w:val="00F33CAB"/>
    <w:rsid w:val="00F63713"/>
    <w:rsid w:val="00F63DC9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9F50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iPriority w:val="99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9F50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9F50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9F50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9F50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9F50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9F50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9F50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9F50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9F50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9F50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9F50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9F50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9F50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9F50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9F50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9F50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9F50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9F50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9F50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9F50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9F50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9F50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9F50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9F50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uiPriority w:val="99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9F50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9F50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uiPriority w:val="99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uiPriority w:val="99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9F50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9F50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9F50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9F50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9F50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9F50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9F50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9F50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9F50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9F50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9F50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9F50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9F50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9F50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9F50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9F5070"/>
  </w:style>
  <w:style w:type="paragraph" w:customStyle="1" w:styleId="Sous-titreobjetPagedecouverture">
    <w:name w:val="Sous-titre objet (Page de couverture)"/>
    <w:basedOn w:val="Sous-titreobjet"/>
    <w:uiPriority w:val="99"/>
    <w:rsid w:val="009F50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9F5070"/>
  </w:style>
  <w:style w:type="paragraph" w:customStyle="1" w:styleId="Volume">
    <w:name w:val="Volum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9F50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AC68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AC68A5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AC68A5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AC68A5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AC68A5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AC68A5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AC68A5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AC68A5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AC68A5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AC68A5"/>
  </w:style>
  <w:style w:type="character" w:customStyle="1" w:styleId="super">
    <w:name w:val="super"/>
    <w:basedOn w:val="Standardnpsmoodstavce"/>
    <w:rsid w:val="00AC68A5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8A5"/>
    <w:rPr>
      <w:sz w:val="17"/>
      <w:szCs w:val="17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9F50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iPriority w:val="99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9F50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9F50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9F50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9F50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9F50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9F50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9F50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9F50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9F50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9F50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9F50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9F50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9F50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9F50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9F50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9F50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9F50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9F50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9F50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9F50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9F50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9F50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9F50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9F50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uiPriority w:val="99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9F50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9F50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uiPriority w:val="99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uiPriority w:val="99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9F50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9F50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9F50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9F50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9F50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9F50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9F50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9F50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9F50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9F50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9F50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9F50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9F50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9F50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9F50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9F5070"/>
  </w:style>
  <w:style w:type="paragraph" w:customStyle="1" w:styleId="Sous-titreobjetPagedecouverture">
    <w:name w:val="Sous-titre objet (Page de couverture)"/>
    <w:basedOn w:val="Sous-titreobjet"/>
    <w:uiPriority w:val="99"/>
    <w:rsid w:val="009F50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9F5070"/>
  </w:style>
  <w:style w:type="paragraph" w:customStyle="1" w:styleId="Volume">
    <w:name w:val="Volum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9F50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AC68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AC68A5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AC68A5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AC68A5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AC68A5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AC68A5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AC68A5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AC68A5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AC68A5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AC68A5"/>
  </w:style>
  <w:style w:type="character" w:customStyle="1" w:styleId="super">
    <w:name w:val="super"/>
    <w:basedOn w:val="Standardnpsmoodstavce"/>
    <w:rsid w:val="00AC68A5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8A5"/>
    <w:rPr>
      <w:sz w:val="17"/>
      <w:szCs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C673C-E3BE-4459-839C-1B94AE3A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2829</Words>
  <Characters>16696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Tomášek</cp:lastModifiedBy>
  <cp:revision>6</cp:revision>
  <dcterms:created xsi:type="dcterms:W3CDTF">2017-05-16T09:38:00Z</dcterms:created>
  <dcterms:modified xsi:type="dcterms:W3CDTF">2017-06-02T08:28:00Z</dcterms:modified>
</cp:coreProperties>
</file>