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0A4B2E" w:rsidRDefault="005C5236" w:rsidP="005C5236">
      <w:pPr>
        <w:spacing w:after="200" w:line="276" w:lineRule="auto"/>
        <w:rPr>
          <w:rFonts w:ascii="Arial" w:eastAsiaTheme="minorEastAsia" w:hAnsi="Arial" w:cs="Arial"/>
          <w:b/>
          <w:sz w:val="12"/>
          <w:szCs w:val="12"/>
        </w:rPr>
      </w:pPr>
    </w:p>
    <w:p w:rsidR="000A4B2E" w:rsidRPr="00D00EAF" w:rsidRDefault="000A4B2E"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0A4B2E">
        <w:rPr>
          <w:rFonts w:asciiTheme="majorHAnsi" w:hAnsiTheme="majorHAnsi" w:cs="MyriadPro-Black"/>
          <w:caps/>
          <w:sz w:val="60"/>
          <w:szCs w:val="60"/>
        </w:rPr>
        <w:t>pro integrované projekty clld</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D6CDE">
        <w:rPr>
          <w:rFonts w:asciiTheme="majorHAnsi" w:hAnsiTheme="majorHAnsi" w:cs="MyriadPro-Black"/>
          <w:caps/>
          <w:color w:val="A6A6A6"/>
          <w:sz w:val="40"/>
          <w:szCs w:val="40"/>
        </w:rPr>
        <w:t>4.1</w:t>
      </w:r>
    </w:p>
    <w:p w:rsidR="00B95143" w:rsidRDefault="000A4B2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1D6CDE">
        <w:rPr>
          <w:rFonts w:asciiTheme="majorHAnsi" w:hAnsiTheme="majorHAnsi" w:cs="MyriadPro-Black"/>
          <w:caps/>
          <w:color w:val="A6A6A6"/>
          <w:sz w:val="40"/>
          <w:szCs w:val="40"/>
        </w:rPr>
        <w:t>53</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0A4B2E">
        <w:rPr>
          <w:rFonts w:asciiTheme="majorHAnsi" w:hAnsiTheme="majorHAnsi" w:cs="MyriadPro-Black"/>
          <w:caps/>
          <w:sz w:val="40"/>
          <w:szCs w:val="40"/>
        </w:rPr>
        <w:t>2d</w:t>
      </w:r>
    </w:p>
    <w:p w:rsidR="005C5236" w:rsidRPr="000A4B2E"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12"/>
          <w:szCs w:val="12"/>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1D6CDE">
        <w:rPr>
          <w:rFonts w:asciiTheme="majorHAnsi" w:eastAsia="MS Mincho" w:hAnsiTheme="majorHAnsi" w:cs="MyriadPro-Black"/>
          <w:caps/>
          <w:color w:val="000000"/>
          <w:sz w:val="32"/>
          <w:szCs w:val="40"/>
          <w:lang w:eastAsia="ja-JP"/>
        </w:rPr>
        <w:t>7. 9</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D12ADF">
        <w:rPr>
          <w:rFonts w:asciiTheme="majorHAnsi" w:eastAsia="MS Mincho" w:hAnsiTheme="majorHAnsi" w:cs="MyriadPro-Black"/>
          <w:caps/>
          <w:color w:val="000000"/>
          <w:sz w:val="32"/>
          <w:szCs w:val="40"/>
          <w:lang w:eastAsia="ja-JP"/>
        </w:rPr>
        <w:t>6</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(dále jen </w:t>
            </w:r>
            <w:r w:rsidR="00185E39">
              <w:rPr>
                <w:rFonts w:asciiTheme="minorHAnsi" w:hAnsiTheme="minorHAnsi" w:cstheme="minorHAnsi"/>
                <w:snapToGrid w:val="0"/>
                <w:sz w:val="22"/>
                <w:szCs w:val="22"/>
              </w:rPr>
              <w:lastRenderedPageBreak/>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Pr="00FE6F34"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w:t>
            </w:r>
            <w:r>
              <w:rPr>
                <w:rFonts w:asciiTheme="minorHAnsi" w:hAnsiTheme="minorHAnsi"/>
                <w:snapToGrid w:val="0"/>
                <w:sz w:val="22"/>
                <w:szCs w:val="22"/>
              </w:rPr>
              <w:lastRenderedPageBreak/>
              <w:t>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 xml:space="preserve">výše procentního </w:t>
            </w:r>
            <w:r>
              <w:rPr>
                <w:rFonts w:asciiTheme="minorHAnsi" w:hAnsiTheme="minorHAnsi"/>
                <w:snapToGrid w:val="0"/>
                <w:sz w:val="22"/>
                <w:szCs w:val="22"/>
              </w:rPr>
              <w:lastRenderedPageBreak/>
              <w:t>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17103" w:rsidRPr="00E657D1"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w:t>
            </w:r>
            <w:bookmarkStart w:id="5" w:name="_GoBack"/>
            <w:bookmarkEnd w:id="5"/>
            <w:r w:rsidRPr="00EB328E">
              <w:rPr>
                <w:rFonts w:asciiTheme="minorHAnsi" w:hAnsiTheme="minorHAnsi"/>
                <w:sz w:val="22"/>
                <w:szCs w:val="22"/>
              </w:rPr>
              <w:t xml:space="preserve"> pro řízení dopravy</w:t>
            </w:r>
            <w:r>
              <w:rPr>
                <w:rFonts w:asciiTheme="minorHAnsi" w:hAnsiTheme="minorHAnsi"/>
                <w:sz w:val="22"/>
                <w:szCs w:val="22"/>
              </w:rPr>
              <w:t>.</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lastRenderedPageBreak/>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63F7F" w:rsidRPr="00E657D1"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w:t>
            </w:r>
            <w:r w:rsidRPr="00811919">
              <w:rPr>
                <w:rFonts w:asciiTheme="minorHAnsi" w:hAnsiTheme="minorHAnsi"/>
                <w:snapToGrid w:val="0"/>
                <w:sz w:val="22"/>
                <w:szCs w:val="22"/>
              </w:rPr>
              <w:lastRenderedPageBreak/>
              <w:t xml:space="preserve">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 xml:space="preserve">ákona </w:t>
            </w:r>
            <w:r w:rsidR="00FB4446">
              <w:rPr>
                <w:rFonts w:asciiTheme="minorHAnsi" w:hAnsiTheme="minorHAnsi" w:cstheme="minorHAnsi"/>
                <w:sz w:val="22"/>
                <w:szCs w:val="22"/>
                <w:lang w:eastAsia="ar-SA"/>
              </w:rPr>
              <w:lastRenderedPageBreak/>
              <w:t>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výše procentního </w:t>
            </w:r>
            <w:r>
              <w:rPr>
                <w:rFonts w:asciiTheme="minorHAnsi" w:hAnsiTheme="minorHAnsi"/>
                <w:snapToGrid w:val="0"/>
                <w:sz w:val="22"/>
                <w:szCs w:val="22"/>
              </w:rPr>
              <w:lastRenderedPageBreak/>
              <w:t xml:space="preserve">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0D5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30"/>
      <w:head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DF0" w:rsidRDefault="00412DF0">
      <w:r>
        <w:separator/>
      </w:r>
    </w:p>
  </w:endnote>
  <w:endnote w:type="continuationSeparator" w:id="0">
    <w:p w:rsidR="00412DF0" w:rsidRDefault="00412DF0">
      <w:r>
        <w:continuationSeparator/>
      </w:r>
    </w:p>
  </w:endnote>
  <w:endnote w:type="continuationNotice" w:id="1">
    <w:p w:rsidR="00412DF0" w:rsidRDefault="00412D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175A8">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175A8">
      <w:rPr>
        <w:rFonts w:asciiTheme="minorHAnsi" w:hAnsiTheme="minorHAnsi"/>
        <w:noProof/>
        <w:snapToGrid w:val="0"/>
      </w:rPr>
      <w:t>10</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DF0" w:rsidRDefault="00412DF0">
      <w:r>
        <w:separator/>
      </w:r>
    </w:p>
  </w:footnote>
  <w:footnote w:type="continuationSeparator" w:id="0">
    <w:p w:rsidR="00412DF0" w:rsidRDefault="00412DF0">
      <w:r>
        <w:continuationSeparator/>
      </w:r>
    </w:p>
  </w:footnote>
  <w:footnote w:type="continuationNotice" w:id="1">
    <w:p w:rsidR="00412DF0" w:rsidRDefault="00412D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4B2E"/>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D6CD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2DF0"/>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813"/>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175A8"/>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1822"/>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10.xml><?xml version="1.0" encoding="utf-8"?>
<ds:datastoreItem xmlns:ds="http://schemas.openxmlformats.org/officeDocument/2006/customXml" ds:itemID="{1F736D0A-3EAF-468A-9AEF-2452EBE47EA6}">
  <ds:schemaRefs>
    <ds:schemaRef ds:uri="http://schemas.openxmlformats.org/officeDocument/2006/bibliography"/>
  </ds:schemaRefs>
</ds:datastoreItem>
</file>

<file path=customXml/itemProps11.xml><?xml version="1.0" encoding="utf-8"?>
<ds:datastoreItem xmlns:ds="http://schemas.openxmlformats.org/officeDocument/2006/customXml" ds:itemID="{E627E0E5-CD02-4670-B8A1-09A4CF63E7C7}">
  <ds:schemaRefs>
    <ds:schemaRef ds:uri="http://schemas.openxmlformats.org/officeDocument/2006/bibliography"/>
  </ds:schemaRefs>
</ds:datastoreItem>
</file>

<file path=customXml/itemProps12.xml><?xml version="1.0" encoding="utf-8"?>
<ds:datastoreItem xmlns:ds="http://schemas.openxmlformats.org/officeDocument/2006/customXml" ds:itemID="{3F0C7D35-8A8F-4BBE-A29D-995C11A0A2A2}">
  <ds:schemaRefs>
    <ds:schemaRef ds:uri="http://schemas.openxmlformats.org/officeDocument/2006/bibliography"/>
  </ds:schemaRefs>
</ds:datastoreItem>
</file>

<file path=customXml/itemProps13.xml><?xml version="1.0" encoding="utf-8"?>
<ds:datastoreItem xmlns:ds="http://schemas.openxmlformats.org/officeDocument/2006/customXml" ds:itemID="{4C044496-002D-4DF8-AF2B-F5161B9E2E67}">
  <ds:schemaRefs>
    <ds:schemaRef ds:uri="http://schemas.openxmlformats.org/officeDocument/2006/bibliography"/>
  </ds:schemaRefs>
</ds:datastoreItem>
</file>

<file path=customXml/itemProps14.xml><?xml version="1.0" encoding="utf-8"?>
<ds:datastoreItem xmlns:ds="http://schemas.openxmlformats.org/officeDocument/2006/customXml" ds:itemID="{56EF4E7B-89EF-421E-A088-49A2F9AB3340}">
  <ds:schemaRefs>
    <ds:schemaRef ds:uri="http://schemas.openxmlformats.org/officeDocument/2006/bibliography"/>
  </ds:schemaRefs>
</ds:datastoreItem>
</file>

<file path=customXml/itemProps15.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16.xml><?xml version="1.0" encoding="utf-8"?>
<ds:datastoreItem xmlns:ds="http://schemas.openxmlformats.org/officeDocument/2006/customXml" ds:itemID="{679E55D1-EF3B-48F0-A36C-AB8BDDDD54BD}">
  <ds:schemaRefs>
    <ds:schemaRef ds:uri="http://schemas.openxmlformats.org/officeDocument/2006/bibliography"/>
  </ds:schemaRefs>
</ds:datastoreItem>
</file>

<file path=customXml/itemProps17.xml><?xml version="1.0" encoding="utf-8"?>
<ds:datastoreItem xmlns:ds="http://schemas.openxmlformats.org/officeDocument/2006/customXml" ds:itemID="{2CEE89B9-1460-4CD0-8404-16E5C7BF00CC}">
  <ds:schemaRefs>
    <ds:schemaRef ds:uri="http://schemas.openxmlformats.org/officeDocument/2006/bibliography"/>
  </ds:schemaRefs>
</ds:datastoreItem>
</file>

<file path=customXml/itemProps18.xml><?xml version="1.0" encoding="utf-8"?>
<ds:datastoreItem xmlns:ds="http://schemas.openxmlformats.org/officeDocument/2006/customXml" ds:itemID="{B73F3771-B91A-431A-A71B-37EE000B7E4B}">
  <ds:schemaRefs>
    <ds:schemaRef ds:uri="http://schemas.openxmlformats.org/officeDocument/2006/bibliography"/>
  </ds:schemaRefs>
</ds:datastoreItem>
</file>

<file path=customXml/itemProps19.xml><?xml version="1.0" encoding="utf-8"?>
<ds:datastoreItem xmlns:ds="http://schemas.openxmlformats.org/officeDocument/2006/customXml" ds:itemID="{847FB090-2592-47BB-837D-8FC5A2670ACD}">
  <ds:schemaRefs>
    <ds:schemaRef ds:uri="http://schemas.openxmlformats.org/officeDocument/2006/bibliography"/>
  </ds:schemaRefs>
</ds:datastoreItem>
</file>

<file path=customXml/itemProps2.xml><?xml version="1.0" encoding="utf-8"?>
<ds:datastoreItem xmlns:ds="http://schemas.openxmlformats.org/officeDocument/2006/customXml" ds:itemID="{2898B466-439F-4477-8A61-ED4834926D99}">
  <ds:schemaRefs>
    <ds:schemaRef ds:uri="http://schemas.openxmlformats.org/officeDocument/2006/bibliography"/>
  </ds:schemaRefs>
</ds:datastoreItem>
</file>

<file path=customXml/itemProps20.xml><?xml version="1.0" encoding="utf-8"?>
<ds:datastoreItem xmlns:ds="http://schemas.openxmlformats.org/officeDocument/2006/customXml" ds:itemID="{4F910FBF-8304-434C-800E-CA0A59405FF7}">
  <ds:schemaRefs>
    <ds:schemaRef ds:uri="http://schemas.openxmlformats.org/officeDocument/2006/bibliography"/>
  </ds:schemaRefs>
</ds:datastoreItem>
</file>

<file path=customXml/itemProps21.xml><?xml version="1.0" encoding="utf-8"?>
<ds:datastoreItem xmlns:ds="http://schemas.openxmlformats.org/officeDocument/2006/customXml" ds:itemID="{5A4783B1-7516-488A-9C74-14BFA6D90833}">
  <ds:schemaRefs>
    <ds:schemaRef ds:uri="http://schemas.openxmlformats.org/officeDocument/2006/bibliography"/>
  </ds:schemaRefs>
</ds:datastoreItem>
</file>

<file path=customXml/itemProps22.xml><?xml version="1.0" encoding="utf-8"?>
<ds:datastoreItem xmlns:ds="http://schemas.openxmlformats.org/officeDocument/2006/customXml" ds:itemID="{90F04427-5983-453C-ADEB-CA386A1D23CB}">
  <ds:schemaRefs>
    <ds:schemaRef ds:uri="http://schemas.openxmlformats.org/officeDocument/2006/bibliography"/>
  </ds:schemaRefs>
</ds:datastoreItem>
</file>

<file path=customXml/itemProps3.xml><?xml version="1.0" encoding="utf-8"?>
<ds:datastoreItem xmlns:ds="http://schemas.openxmlformats.org/officeDocument/2006/customXml" ds:itemID="{55CFB025-FA2D-4F64-8731-BA6FCF70525F}">
  <ds:schemaRefs>
    <ds:schemaRef ds:uri="http://schemas.openxmlformats.org/officeDocument/2006/bibliography"/>
  </ds:schemaRefs>
</ds:datastoreItem>
</file>

<file path=customXml/itemProps4.xml><?xml version="1.0" encoding="utf-8"?>
<ds:datastoreItem xmlns:ds="http://schemas.openxmlformats.org/officeDocument/2006/customXml" ds:itemID="{212F5BB9-A767-4F3A-8666-052A40F0B5D1}">
  <ds:schemaRefs>
    <ds:schemaRef ds:uri="http://schemas.openxmlformats.org/officeDocument/2006/bibliography"/>
  </ds:schemaRefs>
</ds:datastoreItem>
</file>

<file path=customXml/itemProps5.xml><?xml version="1.0" encoding="utf-8"?>
<ds:datastoreItem xmlns:ds="http://schemas.openxmlformats.org/officeDocument/2006/customXml" ds:itemID="{7DAA5C5C-B502-47B1-A379-AC393DF98003}">
  <ds:schemaRefs>
    <ds:schemaRef ds:uri="http://schemas.openxmlformats.org/officeDocument/2006/bibliography"/>
  </ds:schemaRefs>
</ds:datastoreItem>
</file>

<file path=customXml/itemProps6.xml><?xml version="1.0" encoding="utf-8"?>
<ds:datastoreItem xmlns:ds="http://schemas.openxmlformats.org/officeDocument/2006/customXml" ds:itemID="{53D7D4AD-8F69-4F38-B30C-232133A2DD8E}">
  <ds:schemaRefs>
    <ds:schemaRef ds:uri="http://schemas.openxmlformats.org/officeDocument/2006/bibliography"/>
  </ds:schemaRefs>
</ds:datastoreItem>
</file>

<file path=customXml/itemProps7.xml><?xml version="1.0" encoding="utf-8"?>
<ds:datastoreItem xmlns:ds="http://schemas.openxmlformats.org/officeDocument/2006/customXml" ds:itemID="{168A9873-9A0C-498B-A5C1-7FB65486EF75}">
  <ds:schemaRefs>
    <ds:schemaRef ds:uri="http://schemas.openxmlformats.org/officeDocument/2006/bibliography"/>
  </ds:schemaRefs>
</ds:datastoreItem>
</file>

<file path=customXml/itemProps8.xml><?xml version="1.0" encoding="utf-8"?>
<ds:datastoreItem xmlns:ds="http://schemas.openxmlformats.org/officeDocument/2006/customXml" ds:itemID="{848054B1-3460-46BA-B8A4-8B0236EF3E72}">
  <ds:schemaRefs>
    <ds:schemaRef ds:uri="http://schemas.openxmlformats.org/officeDocument/2006/bibliography"/>
  </ds:schemaRefs>
</ds:datastoreItem>
</file>

<file path=customXml/itemProps9.xml><?xml version="1.0" encoding="utf-8"?>
<ds:datastoreItem xmlns:ds="http://schemas.openxmlformats.org/officeDocument/2006/customXml" ds:itemID="{F47909A5-5113-4E3D-8B40-1A12C17C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2578</Words>
  <Characters>15142</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10</cp:revision>
  <cp:lastPrinted>2015-09-16T08:02:00Z</cp:lastPrinted>
  <dcterms:created xsi:type="dcterms:W3CDTF">2016-05-16T11:35:00Z</dcterms:created>
  <dcterms:modified xsi:type="dcterms:W3CDTF">2016-09-07T13:44:00Z</dcterms:modified>
</cp:coreProperties>
</file>